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  <w:tabs>
          <w:tab w:val="clear" w:pos="4153" w:leader="none"/>
          <w:tab w:val="clear" w:pos="8306" w:leader="none"/>
        </w:tabs>
        <w:rPr>
          <w:b/>
          <w:bCs/>
        </w:rPr>
      </w:pPr>
      <w:r>
        <w:rPr>
          <w:b/>
          <w:bCs/>
        </w:rPr>
        <w:t xml:space="preserve">ПОЯСНИТЕЛЬНАЯ ЗАПИСКА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widowControl w:val="off"/>
        <w:rPr>
          <w:b/>
          <w:bCs/>
        </w:rPr>
      </w:pPr>
      <w:r>
        <w:rPr>
          <w:b/>
        </w:rPr>
        <w:t xml:space="preserve">к проекту закона Новосибирской области</w:t>
      </w:r>
      <w:r>
        <w:rPr>
          <w:b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widowControl w:val="off"/>
      </w:pPr>
      <w:r>
        <w:rPr>
          <w:b/>
          <w:bCs/>
          <w:szCs w:val="27"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отдельные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законы Новосибирской области</w:t>
      </w:r>
      <w:r>
        <w:rPr>
          <w:b/>
          <w:bCs/>
          <w:szCs w:val="27"/>
        </w:rPr>
        <w:t xml:space="preserve">»</w:t>
      </w:r>
      <w:r/>
    </w:p>
    <w:p>
      <w:pPr>
        <w:pStyle w:val="850"/>
        <w:jc w:val="both"/>
      </w:pPr>
      <w:r>
        <w:t xml:space="preserve"> </w:t>
      </w:r>
      <w:r/>
    </w:p>
    <w:p>
      <w:pPr>
        <w:pStyle w:val="850"/>
        <w:jc w:val="both"/>
      </w:pPr>
      <w:r>
        <w:t xml:space="preserve"> </w:t>
      </w:r>
      <w:r/>
    </w:p>
    <w:p>
      <w:pPr>
        <w:ind w:firstLine="708"/>
        <w:jc w:val="both"/>
        <w:widowControl w:val="off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Раз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аботка проекта закона Новосибирской области «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 внесении изменений в отдельные законы Новосибирской области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» (далее – проект закона)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обусловлена необходимостью приведения отдельных законов Новосибирской области в соответствие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с федеральным законодательством.</w:t>
      </w:r>
      <w:r>
        <w:rPr>
          <w:rFonts w:ascii="Times New Roman" w:hAnsi="Times New Roman" w:cs="Times New Roman"/>
          <w:bCs/>
          <w:sz w:val="27"/>
          <w:szCs w:val="27"/>
        </w:rPr>
      </w:r>
      <w:r>
        <w:rPr>
          <w:rFonts w:ascii="Times New Roman" w:hAnsi="Times New Roman" w:cs="Times New Roman"/>
          <w:bCs/>
          <w:sz w:val="27"/>
          <w:szCs w:val="27"/>
        </w:rPr>
      </w:r>
    </w:p>
    <w:p>
      <w:pPr>
        <w:ind w:firstLine="709"/>
        <w:jc w:val="both"/>
        <w:spacing w:line="283" w:lineRule="atLeast"/>
        <w:tabs>
          <w:tab w:val="left" w:pos="993" w:leader="none"/>
          <w:tab w:val="left" w:pos="8409" w:leader="none"/>
        </w:tabs>
        <w:rPr>
          <w:rFonts w:ascii="Times New Roman" w:hAnsi="Times New Roman" w:cs="Times New Roman"/>
          <w:sz w:val="27"/>
          <w:szCs w:val="27"/>
          <w:highlight w:val="none"/>
          <w:u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Феде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ральным законом от 21 декабря 2021 года № 414-ФЗ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Об общих принципах организации публичной власти в субъектах Российской Федерации»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(далее – Федеральный закон № 414-ФЗ)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используются такие понятия, как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органы исполнительной власти субъектов Российской Федерации» и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исполнительные органы субъекта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  <w:u w:val="none"/>
        </w:rPr>
        <w:t xml:space="preserve">», в то время как </w:t>
      </w:r>
      <w:r>
        <w:rPr>
          <w:rFonts w:ascii="Times New Roman" w:hAnsi="Times New Roman" w:eastAsia="Times New Roman" w:cs="Times New Roman"/>
          <w:sz w:val="28"/>
          <w:szCs w:val="28"/>
          <w:u w:val="none"/>
        </w:rPr>
        <w:t xml:space="preserve">понятие </w:t>
      </w:r>
      <w:r>
        <w:rPr>
          <w:rFonts w:ascii="Times New Roman" w:hAnsi="Times New Roman" w:eastAsia="Times New Roman" w:cs="Times New Roman"/>
          <w:sz w:val="28"/>
          <w:szCs w:val="28"/>
          <w:u w:val="none"/>
        </w:rPr>
        <w:t xml:space="preserve">«и</w:t>
      </w:r>
      <w:r>
        <w:rPr>
          <w:rFonts w:ascii="Times New Roman" w:hAnsi="Times New Roman" w:eastAsia="Times New Roman" w:cs="Times New Roman"/>
          <w:sz w:val="28"/>
          <w:szCs w:val="28"/>
          <w:u w:val="none"/>
        </w:rPr>
        <w:t xml:space="preserve">сполнительные органы государственной власти субъекта Российской Ф</w:t>
      </w:r>
      <w:r>
        <w:rPr>
          <w:rFonts w:ascii="Times New Roman" w:hAnsi="Times New Roman" w:eastAsia="Times New Roman" w:cs="Times New Roman"/>
          <w:sz w:val="28"/>
          <w:szCs w:val="28"/>
          <w:u w:val="none"/>
        </w:rPr>
        <w:t xml:space="preserve">едерации</w:t>
      </w:r>
      <w:r>
        <w:rPr>
          <w:rFonts w:ascii="Times New Roman" w:hAnsi="Times New Roman" w:eastAsia="Times New Roman" w:cs="Times New Roman"/>
          <w:sz w:val="28"/>
          <w:szCs w:val="28"/>
          <w:u w:val="none"/>
        </w:rPr>
        <w:t xml:space="preserve">» не применяется</w:t>
      </w:r>
      <w:r>
        <w:rPr>
          <w:rFonts w:ascii="Times New Roman" w:hAnsi="Times New Roman" w:eastAsia="Times New Roman" w:cs="Times New Roman"/>
          <w:sz w:val="28"/>
          <w:szCs w:val="28"/>
          <w:u w:val="none"/>
        </w:rPr>
        <w:t xml:space="preserve">.</w:t>
      </w:r>
      <w:r>
        <w:rPr>
          <w:rFonts w:ascii="Times New Roman" w:hAnsi="Times New Roman" w:cs="Times New Roman"/>
          <w:sz w:val="27"/>
          <w:szCs w:val="27"/>
          <w:highlight w:val="none"/>
          <w:u w:val="none"/>
        </w:rPr>
      </w:r>
      <w:r>
        <w:rPr>
          <w:rFonts w:ascii="Times New Roman" w:hAnsi="Times New Roman" w:cs="Times New Roman"/>
          <w:sz w:val="27"/>
          <w:szCs w:val="27"/>
          <w:highlight w:val="none"/>
          <w:u w:val="none"/>
        </w:rPr>
      </w:r>
    </w:p>
    <w:p>
      <w:pPr>
        <w:ind w:firstLine="709"/>
        <w:jc w:val="both"/>
        <w:spacing w:line="283" w:lineRule="atLeast"/>
        <w:tabs>
          <w:tab w:val="left" w:pos="993" w:leader="none"/>
          <w:tab w:val="left" w:pos="8409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Законом Новосиби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рской области от 18 июля 2024 года № 468-ОЗ «О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поправках к Уставу Новосибирской области»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внесены поправки, направленные на приведение терминологии в соответствии с Федеральным законом № 414-ФЗ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связи с внесением изменений в Федеральный закон № 414-ФЗ внос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тся изменени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 13 Законов Новосибирской области, которыми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наименование исполнительных органов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приведены к единообразию.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tabs>
          <w:tab w:val="left" w:pos="992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В статье 3 проекта закона учтены изменения, связанные с </w:t>
      </w:r>
      <w:r>
        <w:rPr>
          <w:sz w:val="28"/>
          <w:szCs w:val="28"/>
        </w:rPr>
        <w:t xml:space="preserve">вступлением в силу </w:t>
      </w:r>
      <w:r>
        <w:rPr>
          <w:sz w:val="28"/>
          <w:szCs w:val="28"/>
        </w:rPr>
        <w:t xml:space="preserve">5 января</w:t>
      </w:r>
      <w:r>
        <w:rPr>
          <w:sz w:val="28"/>
          <w:szCs w:val="28"/>
        </w:rPr>
        <w:t xml:space="preserve"> 2024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от 25</w:t>
      </w:r>
      <w:r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3 года </w:t>
      </w:r>
      <w:r>
        <w:rPr>
          <w:sz w:val="28"/>
          <w:szCs w:val="28"/>
        </w:rPr>
        <w:t xml:space="preserve">№ 628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ФЗ «О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внесении изменений в Бюджетный кодекс Российской Федерации и отдельные законодательные акты Российской Федерации»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части признания утратившим силу абзаца четвертого пункта 2 статьи 79.1 </w:t>
      </w:r>
      <w:r>
        <w:rPr>
          <w:sz w:val="28"/>
          <w:szCs w:val="28"/>
        </w:rPr>
        <w:t xml:space="preserve">Бюджетного кодекса.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83" w:lineRule="atLeast"/>
        <w:tabs>
          <w:tab w:val="left" w:pos="993" w:leader="none"/>
          <w:tab w:val="left" w:pos="8409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статьях 7 и 12 проекта </w:t>
      </w:r>
      <w:r>
        <w:rPr>
          <w:sz w:val="28"/>
          <w:szCs w:val="28"/>
        </w:rPr>
        <w:t xml:space="preserve">закона учтены изменения, связанные с </w:t>
      </w:r>
      <w:r>
        <w:rPr>
          <w:sz w:val="28"/>
          <w:szCs w:val="28"/>
        </w:rPr>
        <w:t xml:space="preserve">вступлением в силу </w:t>
      </w:r>
      <w:r>
        <w:rPr>
          <w:sz w:val="28"/>
          <w:szCs w:val="28"/>
          <w:highlight w:val="none"/>
        </w:rPr>
        <w:t xml:space="preserve">Законов Новосибирской области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от 5 июня 2024 года № 448-ОЗ «</w:t>
      </w:r>
      <w:r>
        <w:rPr>
          <w:sz w:val="28"/>
          <w:szCs w:val="28"/>
          <w:highlight w:val="none"/>
        </w:rPr>
        <w:t xml:space="preserve">Об объединении муниципальных образований, входящих в состав Карасукского муниципального района Новосибирской области, и о внесении изменений в отдельные законы Новосибирской области»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 xml:space="preserve">№ 449-ОЗ «</w:t>
      </w:r>
      <w:r>
        <w:rPr>
          <w:sz w:val="28"/>
          <w:szCs w:val="28"/>
        </w:rPr>
        <w:t xml:space="preserve">Об объединении муниципальных образований, входящих в состав Маслянинского муниципального района Новосибирской области, и о внесении изменений в отдельные законы Новосибирской области»,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br/>
        <w:t xml:space="preserve">№ 450-ОЗ «</w:t>
      </w:r>
      <w:r>
        <w:rPr>
          <w:sz w:val="28"/>
          <w:szCs w:val="28"/>
          <w:highlight w:val="none"/>
        </w:rPr>
        <w:t xml:space="preserve">Об объединении муниципальных образований, входящих в состав Татарского муниципального района Новосибирской области, и о внесении изменений в отдельные законы Новосибирской области» которыми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предусмотрено объединение муниципальных образований, входящих в состав Карасукского муниципального района, Маслянинского муниципального района, Татарского муниципального района Новосибирской области, и образование в их границах соответствующих муниципальны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х округов.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Проект закона состоит из 14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статей.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Статьями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13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внос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ятся соответствующее изменения. С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татьей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14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определяется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порядок вступления закона в силу.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Статья 1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вносит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b w:val="0"/>
          <w:spacing w:val="0"/>
          <w:sz w:val="28"/>
          <w:szCs w:val="28"/>
        </w:rPr>
        <w:t xml:space="preserve">Закон Новосибирской области от 6 мая 2008 года № 226-ОЗ «О порядке предоставления государственных гарантий Новосибирской области»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Статья 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вносит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изменения в </w:t>
      </w:r>
      <w:r>
        <w:rPr>
          <w:rFonts w:ascii="Times New Roman" w:hAnsi="Times New Roman" w:eastAsia="Times New Roman" w:cs="Times New Roman"/>
          <w:b w:val="0"/>
          <w:spacing w:val="0"/>
          <w:sz w:val="28"/>
          <w:szCs w:val="28"/>
        </w:rPr>
        <w:t xml:space="preserve">Закон Новосибирской области от 2 июля 2008 года № 245-ОЗ «О развитии малого и среднего предпринимательства в Новосибирской области»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Статья 3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вносит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изменения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b w:val="0"/>
          <w:spacing w:val="0"/>
          <w:sz w:val="28"/>
          <w:szCs w:val="28"/>
        </w:rPr>
        <w:t xml:space="preserve">Закон Новосибирской области от 7 октября 2011 года № 112-ОЗ «О бюджетном процессе в Новосибирской области»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Статья 4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вносит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изменения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b w:val="0"/>
          <w:spacing w:val="0"/>
          <w:sz w:val="28"/>
          <w:szCs w:val="28"/>
        </w:rPr>
        <w:t xml:space="preserve">З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акон Новосибирской области от 7 ноября 2011 года № 131-ОЗ «О Контрольно-счетной палате Новосибирской области»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5 </w:t>
      </w:r>
      <w:r>
        <w:t xml:space="preserve">вносит </w:t>
      </w:r>
      <w:r>
        <w:t xml:space="preserve">изменение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в</w:t>
      </w:r>
      <w:r>
        <w:rPr>
          <w:iCs/>
          <w:sz w:val="28"/>
          <w:szCs w:val="28"/>
        </w:rPr>
        <w:t xml:space="preserve"> 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Закона Новосибирской области от 7 ноября 2011 года № 132-ОЗ «О единых нормативах отчислений в бюджеты муниципальных образований Новосибирской области от отдельных налогов и неналоговых доходов, передаче в бюджеты сельских поселений Новосибирской об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ласти налоговых доходов от отдельных налогов, подлежащих зачислению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области»</w:t>
      </w:r>
      <w:r>
        <w:rPr>
          <w:iCs/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6 </w:t>
      </w:r>
      <w:r>
        <w:t xml:space="preserve">вносит </w:t>
      </w:r>
      <w:r>
        <w:t xml:space="preserve">изменение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в 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Закон Новосибирской области от 22 февраля 2012 года № 185-ОЗ «Об отдельных вопросах регулирования межбюджетных отношений в Новосибирской области»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7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в 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Закон Новосибирской области от 1 октября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 2013 года № 364-ОЗ «Об Уполномоченном по защите прав предпринимателей в Новосибирской области»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8 </w:t>
      </w:r>
      <w:r>
        <w:t xml:space="preserve">вносит</w:t>
      </w:r>
      <w:r>
        <w:t xml:space="preserve"> </w:t>
      </w:r>
      <w:r>
        <w:t xml:space="preserve">изменение</w:t>
      </w:r>
      <w:r>
        <w:rPr>
          <w:sz w:val="28"/>
          <w:szCs w:val="28"/>
        </w:rPr>
        <w:t xml:space="preserve"> в 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Закон Новосибирской области от 1 июля 2015 года № 574-ОЗ «О наказах избирателей депутатам Законодательного Собрания Новосибирской области»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9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Закон Новосибирской области от 18 декабря 2015 года № 24-ОЗ 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«О планировании социально-экономического развития Новосибирской области»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10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в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Закон Новосибирской области от 2 марта 2016 года № 41-ОЗ «Об отдельных вопросах разграничения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 имущества, находящегося в муниципальной собственности, между муниципальными образованиями Новосибирской области».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11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в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Закон Новосибирской области от 29 июн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я 2016 года № 75-ОЗ «Об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12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в</w:t>
      </w:r>
      <w:r>
        <w:rPr>
          <w:iCs/>
          <w:sz w:val="28"/>
          <w:szCs w:val="28"/>
        </w:rPr>
        <w:t xml:space="preserve"> 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Закон Новосибирской области от 6 июля 2018 года № 271-ОЗ «Об управлении и распоряжении государственной собственностью Новосибирской области»</w:t>
      </w:r>
      <w:r>
        <w:rPr>
          <w:iCs/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iCs/>
          <w:sz w:val="28"/>
          <w:szCs w:val="28"/>
          <w:highlight w:val="none"/>
        </w:rPr>
      </w:r>
      <w:r>
        <w:t xml:space="preserve">Статья 13 </w:t>
      </w:r>
      <w:r>
        <w:t xml:space="preserve">вносит </w:t>
      </w:r>
      <w:r>
        <w:t xml:space="preserve">изменения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  <w:highlight w:val="none"/>
        </w:rPr>
        <w:t xml:space="preserve">в 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Закон Новосибирской области от 31 марта 2023 года № 325-ОЗ «О порядке участия областного исполнительного органа государственной власти Новосибирской области, уполномоченного в сфере финансов, в проведении проверки соответствия кандидатов на замещени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</w:rPr>
        <w:t xml:space="preserve">е должности руководителя финансового органа муниципального района, муниципального округа, городского округа Новосибирской области квалификационным требованиям, предъявляемым к рук</w:t>
      </w:r>
      <w:r>
        <w:rPr>
          <w:rFonts w:ascii="TimesNewRoman" w:hAnsi="TimesNewRoman" w:eastAsia="TimesNewRoman" w:cs="TimesNewRoman"/>
          <w:b w:val="0"/>
          <w:spacing w:val="0"/>
          <w:sz w:val="28"/>
          <w:szCs w:val="28"/>
          <w:highlight w:val="white"/>
        </w:rPr>
        <w:t xml:space="preserve">оводителю финансового органа муниципального образования»</w:t>
      </w:r>
      <w:r>
        <w:rPr>
          <w:iCs/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iCs/>
          <w:sz w:val="28"/>
          <w:szCs w:val="28"/>
          <w:highlight w:val="none"/>
        </w:rPr>
      </w:r>
      <w:r>
        <w:t xml:space="preserve">Статья 14 </w:t>
      </w:r>
      <w:r>
        <w:t xml:space="preserve">определяет порядок вступления </w:t>
      </w:r>
      <w:r>
        <w:t xml:space="preserve">Закона Новосибирской области </w:t>
      </w:r>
      <w:r>
        <w:t xml:space="preserve">в силу.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8"/>
      <w:szCs w:val="28"/>
      <w:lang w:val="ru-RU" w:eastAsia="ru-RU" w:bidi="ar-SA"/>
    </w:rPr>
  </w:style>
  <w:style w:type="character" w:styleId="851">
    <w:name w:val="Основной шрифт абзаца"/>
    <w:next w:val="851"/>
    <w:link w:val="850"/>
    <w:uiPriority w:val="1"/>
    <w:semiHidden/>
  </w:style>
  <w:style w:type="table" w:styleId="852">
    <w:name w:val="Обычная таблица"/>
    <w:next w:val="852"/>
    <w:link w:val="850"/>
    <w:uiPriority w:val="99"/>
    <w:semiHidden/>
    <w:unhideWhenUsed/>
    <w:tblPr/>
  </w:style>
  <w:style w:type="numbering" w:styleId="853">
    <w:name w:val="Нет списка"/>
    <w:next w:val="853"/>
    <w:link w:val="850"/>
    <w:uiPriority w:val="99"/>
    <w:semiHidden/>
    <w:unhideWhenUsed/>
  </w:style>
  <w:style w:type="paragraph" w:styleId="854">
    <w:name w:val="Верхний колонтитул"/>
    <w:basedOn w:val="850"/>
    <w:next w:val="854"/>
    <w:link w:val="855"/>
    <w:uiPriority w:val="99"/>
    <w:pPr>
      <w:tabs>
        <w:tab w:val="center" w:pos="4153" w:leader="none"/>
        <w:tab w:val="right" w:pos="8306" w:leader="none"/>
      </w:tabs>
    </w:pPr>
  </w:style>
  <w:style w:type="character" w:styleId="855">
    <w:name w:val="Верхний колонтитул Знак"/>
    <w:next w:val="855"/>
    <w:link w:val="854"/>
    <w:uiPriority w:val="99"/>
    <w:rPr>
      <w:rFonts w:cs="Times New Roman"/>
      <w:sz w:val="28"/>
      <w:szCs w:val="28"/>
    </w:rPr>
  </w:style>
  <w:style w:type="paragraph" w:styleId="856">
    <w:name w:val="Текст выноски"/>
    <w:basedOn w:val="850"/>
    <w:next w:val="856"/>
    <w:link w:val="857"/>
    <w:uiPriority w:val="99"/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rPr>
      <w:rFonts w:ascii="Tahoma" w:hAnsi="Tahoma" w:cs="Tahoma"/>
      <w:sz w:val="16"/>
      <w:szCs w:val="16"/>
    </w:rPr>
  </w:style>
  <w:style w:type="paragraph" w:styleId="858">
    <w:name w:val="Основной текст"/>
    <w:basedOn w:val="850"/>
    <w:next w:val="858"/>
    <w:link w:val="859"/>
    <w:uiPriority w:val="99"/>
    <w:pPr>
      <w:jc w:val="center"/>
    </w:pPr>
    <w:rPr>
      <w:b/>
      <w:bCs/>
      <w:sz w:val="27"/>
      <w:szCs w:val="27"/>
    </w:rPr>
  </w:style>
  <w:style w:type="character" w:styleId="859">
    <w:name w:val="Основной текст Знак"/>
    <w:next w:val="859"/>
    <w:link w:val="858"/>
    <w:uiPriority w:val="99"/>
    <w:rPr>
      <w:rFonts w:cs="Times New Roman"/>
      <w:b/>
      <w:bCs/>
      <w:sz w:val="27"/>
      <w:szCs w:val="27"/>
    </w:rPr>
  </w:style>
  <w:style w:type="paragraph" w:styleId="860">
    <w:name w:val="Основной текст 2"/>
    <w:basedOn w:val="850"/>
    <w:next w:val="860"/>
    <w:link w:val="861"/>
    <w:uiPriority w:val="99"/>
    <w:pPr>
      <w:spacing w:after="120" w:line="480" w:lineRule="auto"/>
    </w:pPr>
  </w:style>
  <w:style w:type="character" w:styleId="861">
    <w:name w:val="Основной текст 2 Знак"/>
    <w:next w:val="861"/>
    <w:link w:val="860"/>
    <w:uiPriority w:val="99"/>
    <w:rPr>
      <w:rFonts w:cs="Times New Roman"/>
      <w:sz w:val="28"/>
      <w:szCs w:val="28"/>
    </w:rPr>
  </w:style>
  <w:style w:type="paragraph" w:styleId="862">
    <w:name w:val="ConsPlusNormal"/>
    <w:next w:val="862"/>
    <w:link w:val="8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63">
    <w:name w:val="Текст сноски"/>
    <w:basedOn w:val="850"/>
    <w:next w:val="863"/>
    <w:link w:val="864"/>
    <w:unhideWhenUsed/>
    <w:pPr>
      <w:jc w:val="both"/>
    </w:pPr>
    <w:rPr>
      <w:sz w:val="20"/>
      <w:szCs w:val="20"/>
      <w:lang w:eastAsia="en-US"/>
    </w:rPr>
  </w:style>
  <w:style w:type="character" w:styleId="864">
    <w:name w:val="Текст сноски Знак"/>
    <w:next w:val="864"/>
    <w:link w:val="863"/>
    <w:rPr>
      <w:rFonts w:eastAsia="Times New Roman" w:cs="Times New Roman"/>
      <w:lang w:val="en-US" w:eastAsia="en-US"/>
    </w:rPr>
  </w:style>
  <w:style w:type="character" w:styleId="865">
    <w:name w:val="Знак сноски"/>
    <w:next w:val="865"/>
    <w:link w:val="850"/>
    <w:unhideWhenUsed/>
    <w:rPr>
      <w:rFonts w:cs="Times New Roman"/>
      <w:vertAlign w:val="superscript"/>
    </w:rPr>
  </w:style>
  <w:style w:type="paragraph" w:styleId="866">
    <w:name w:val="Нижний колонтитул"/>
    <w:basedOn w:val="850"/>
    <w:next w:val="866"/>
    <w:link w:val="867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Нижний колонтитул Знак"/>
    <w:next w:val="867"/>
    <w:link w:val="866"/>
    <w:uiPriority w:val="99"/>
    <w:rPr>
      <w:rFonts w:cs="Times New Roman"/>
      <w:sz w:val="28"/>
      <w:szCs w:val="28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17</cp:revision>
  <dcterms:created xsi:type="dcterms:W3CDTF">2022-03-09T04:21:00Z</dcterms:created>
  <dcterms:modified xsi:type="dcterms:W3CDTF">2024-10-16T05:18:09Z</dcterms:modified>
  <cp:version>917504</cp:version>
</cp:coreProperties>
</file>